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2022年度桂林市打造世界级旅游城市</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工作推进中心直接考核公开招聘高层次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专业技术人员评分细则</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2022年度桂林市打造世界级旅游城市工作推进中心（以下简称“世旅中心”）直接考核公开招聘高层次专业技术人员的考核标准采取量化考核评分。具体量化内容及评分标准如下：</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一、面试（60分）</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世旅中心考核组根据报名人员的工作经历、业绩成果、与岗位的匹配度等情况，进行综合评价，面试评分。</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二、学历分（15分）</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博士研究生</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分，全日制硕士研究生1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分，非全日制硕士研究生1</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分，全日制本科学历1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分，非全日制本科1</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三、技术职称分（15分）</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（一）正高职称8分，副高职称7分。</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（二）取得高级职称每年得1分，不满六个月按半年计算得0.5分，满六个月不满一年按一年计算得1分，满分为7分。</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四、取得国家职业资格证书（10分）</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通过国家组织的统一考试，取得国家注册职业资格证书得10分，未取得不得分。</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本次招聘量</w:t>
      </w:r>
      <w:bookmarkStart w:id="0" w:name="_GoBack"/>
      <w:bookmarkEnd w:id="0"/>
      <w:r>
        <w:rPr>
          <w:rFonts w:hint="eastAsia" w:ascii="Times New Roman" w:hAnsi="Times New Roman" w:eastAsia="仿宋_GB2312" w:cs="Times New Roman"/>
          <w:sz w:val="32"/>
          <w:szCs w:val="32"/>
          <w:lang w:val="en-US" w:eastAsia="zh-CN"/>
        </w:rPr>
        <w:t>化评分考核细则，年限计算截止日期2022年9月22日，年限足年足月累计。考核部分满分为100分，考核部分70分及以上为合格，70分以下为不合格；同一岗位有2人及以上报名的，录取最高分者。</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Yzg2ZmY2Njc2NDU2NGJhNmQ3NzFjYmYyMGExMjEifQ=="/>
  </w:docVars>
  <w:rsids>
    <w:rsidRoot w:val="39FB2752"/>
    <w:rsid w:val="14866D75"/>
    <w:rsid w:val="22846DEC"/>
    <w:rsid w:val="24F21E1C"/>
    <w:rsid w:val="39FB2752"/>
    <w:rsid w:val="63396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127</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2022-09-12T05:53:00Z</dcterms:created>
  <dc:creator>廖</dc:creator>
  <cp:lastModifiedBy>廖</cp:lastModifiedBy>
  <dcterms:modified xsi:type="dcterms:W3CDTF">2022-09-13T03:04:09Z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574D5389CDBD4DA0B6C6C194FE6E5958</vt:lpwstr>
  </property>
</Properties>
</file>